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1A4A92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      </w:t>
      </w: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494935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 xml:space="preserve">PG.SA.LZ – </w:t>
      </w:r>
      <w:r w:rsidR="005122BF">
        <w:rPr>
          <w:sz w:val="22"/>
          <w:u w:val="single"/>
        </w:rPr>
        <w:t>2</w:t>
      </w:r>
      <w:r w:rsidR="00F677C3">
        <w:rPr>
          <w:sz w:val="22"/>
          <w:u w:val="single"/>
        </w:rPr>
        <w:t>8</w:t>
      </w:r>
      <w:r>
        <w:rPr>
          <w:sz w:val="22"/>
          <w:u w:val="single"/>
        </w:rPr>
        <w:t xml:space="preserve">-24 </w:t>
      </w:r>
      <w:r w:rsidR="005122BF">
        <w:rPr>
          <w:sz w:val="22"/>
          <w:u w:val="single"/>
        </w:rPr>
        <w:t xml:space="preserve">   </w:t>
      </w:r>
      <w:r>
        <w:rPr>
          <w:sz w:val="22"/>
          <w:u w:val="single"/>
        </w:rPr>
        <w:t xml:space="preserve">–     CD </w:t>
      </w:r>
      <w:r w:rsidR="005122BF">
        <w:rPr>
          <w:sz w:val="22"/>
          <w:u w:val="single"/>
        </w:rPr>
        <w:t>2</w:t>
      </w:r>
      <w:r w:rsidR="00F677C3">
        <w:rPr>
          <w:sz w:val="22"/>
          <w:u w:val="single"/>
        </w:rPr>
        <w:t>7</w:t>
      </w:r>
      <w:r>
        <w:rPr>
          <w:sz w:val="22"/>
          <w:u w:val="single"/>
        </w:rPr>
        <w:t>-24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F677C3" w:rsidRDefault="006E317A" w:rsidP="00F677C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>
        <w:rPr>
          <w:rFonts w:cs="Arial"/>
        </w:rPr>
        <w:t xml:space="preserve">El presente llamado tiene por objeto la </w:t>
      </w:r>
      <w:r w:rsidRPr="00D11491">
        <w:rPr>
          <w:rFonts w:cs="Arial"/>
          <w:i/>
        </w:rPr>
        <w:t xml:space="preserve">contratación del </w:t>
      </w:r>
      <w:r w:rsidR="00F677C3">
        <w:rPr>
          <w:rFonts w:eastAsia="Times New Roman" w:cs="Arial"/>
          <w:szCs w:val="22"/>
          <w:lang w:val="es-ES"/>
        </w:rPr>
        <w:t xml:space="preserve">Servicio de Mantenimiento Preventivo y Correctivo de la Planta de Tratamiento de Efluentes de Líquidos cloacales del Edificio del Ministerio Público Fiscal Av. Larroque N° 2300 –Banfield, por el período </w:t>
      </w:r>
    </w:p>
    <w:p w:rsidR="006E317A" w:rsidRPr="00D11491" w:rsidRDefault="00F677C3" w:rsidP="006E317A">
      <w:pPr>
        <w:pStyle w:val="Sangra2detindependiente1"/>
        <w:ind w:left="0"/>
        <w:rPr>
          <w:i/>
        </w:rPr>
      </w:pPr>
      <w:r>
        <w:rPr>
          <w:rFonts w:ascii="Arial" w:hAnsi="Arial" w:cs="Arial"/>
          <w:i/>
          <w:szCs w:val="22"/>
        </w:rPr>
        <w:t xml:space="preserve">Del 3er. Trimestre, </w:t>
      </w:r>
      <w:r w:rsidR="006E317A" w:rsidRPr="00D11491">
        <w:rPr>
          <w:rFonts w:ascii="Arial" w:hAnsi="Arial" w:cs="Arial"/>
          <w:i/>
          <w:lang w:val="es-AR"/>
        </w:rPr>
        <w:t xml:space="preserve"> y correrá desde el 1 de </w:t>
      </w:r>
      <w:r w:rsidR="006E317A">
        <w:rPr>
          <w:rFonts w:ascii="Arial" w:hAnsi="Arial" w:cs="Arial"/>
          <w:i/>
          <w:lang w:val="es-AR"/>
        </w:rPr>
        <w:t>Octubre de 2024</w:t>
      </w:r>
      <w:r w:rsidR="006E317A" w:rsidRPr="00D11491">
        <w:rPr>
          <w:rFonts w:ascii="Arial" w:hAnsi="Arial" w:cs="Arial"/>
          <w:i/>
          <w:lang w:val="es-AR"/>
        </w:rPr>
        <w:t xml:space="preserve">, o desde la fecha que indique la correspondiente Orden de Provisión, si se emitiera en fecha posterior, y finalizará </w:t>
      </w:r>
      <w:r w:rsidR="006E317A">
        <w:rPr>
          <w:rFonts w:ascii="Arial" w:hAnsi="Arial" w:cs="Arial"/>
          <w:i/>
          <w:lang w:val="es-AR"/>
        </w:rPr>
        <w:t>cumplido los 3 meses.</w:t>
      </w:r>
      <w:r w:rsidR="006E317A" w:rsidRPr="00D11491">
        <w:rPr>
          <w:i/>
          <w:lang w:val="es-AR"/>
        </w:rPr>
        <w:t>.</w:t>
      </w:r>
    </w:p>
    <w:p w:rsidR="00EA69D1" w:rsidRDefault="00EA69D1" w:rsidP="00EA69D1">
      <w:pPr>
        <w:pStyle w:val="Textoindependiente"/>
        <w:widowControl/>
        <w:tabs>
          <w:tab w:val="clear" w:pos="1985"/>
          <w:tab w:val="clear" w:pos="3969"/>
        </w:tabs>
        <w:suppressAutoHyphens w:val="0"/>
      </w:pPr>
    </w:p>
    <w:p w:rsidR="002F1873" w:rsidRPr="003D1DD6" w:rsidRDefault="005A770E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="00840181">
        <w:rPr>
          <w:rFonts w:eastAsia="Times New Roman" w:cs="Arial"/>
          <w:szCs w:val="22"/>
          <w:lang w:val="es-ES"/>
        </w:rPr>
        <w:t>el plazo de la Orden de Provisi</w:t>
      </w:r>
      <w:r w:rsidR="00086DE4">
        <w:rPr>
          <w:rFonts w:eastAsia="Times New Roman" w:cs="Arial"/>
          <w:szCs w:val="22"/>
          <w:lang w:val="es-ES"/>
        </w:rPr>
        <w:t>ón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 w:rsidR="00840181"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840181">
        <w:rPr>
          <w:rFonts w:eastAsia="Times New Roman" w:cs="Arial"/>
          <w:szCs w:val="22"/>
          <w:lang w:val="es-ES"/>
        </w:rPr>
        <w:t>)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lastRenderedPageBreak/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r w:rsidR="005A770E" w:rsidRPr="005A770E">
        <w:rPr>
          <w:b/>
        </w:rPr>
        <w:t>Larroque N° 2450</w:t>
      </w:r>
      <w:r w:rsidR="005A770E">
        <w:t xml:space="preserve"> </w:t>
      </w:r>
      <w:r w:rsidR="005A770E" w:rsidRPr="005A770E">
        <w:rPr>
          <w:b/>
        </w:rPr>
        <w:t>esq. Pte. Perón, Planta Baja, Sector I,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5122BF">
        <w:rPr>
          <w:rFonts w:ascii="Arial Black" w:hAnsi="Arial Black"/>
          <w:b/>
          <w:sz w:val="20"/>
        </w:rPr>
        <w:t>2</w:t>
      </w:r>
      <w:r w:rsidR="000A2FBF">
        <w:rPr>
          <w:rFonts w:ascii="Arial Black" w:hAnsi="Arial Black"/>
          <w:b/>
          <w:sz w:val="20"/>
        </w:rPr>
        <w:t>7</w:t>
      </w:r>
      <w:r w:rsidR="004E3EA4" w:rsidRPr="004E3EA4">
        <w:rPr>
          <w:rFonts w:ascii="Arial Black" w:hAnsi="Arial Black"/>
          <w:b/>
          <w:sz w:val="20"/>
        </w:rPr>
        <w:t xml:space="preserve"> 2024</w:t>
      </w:r>
    </w:p>
    <w:p w:rsidR="00276102" w:rsidRDefault="00276102" w:rsidP="00276102">
      <w:pPr>
        <w:pStyle w:val="Listaconvietas"/>
        <w:ind w:left="70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4E3EA4">
        <w:t xml:space="preserve">N° </w:t>
      </w:r>
      <w:r w:rsidR="005122BF">
        <w:rPr>
          <w:rFonts w:ascii="Arial Black" w:hAnsi="Arial Black"/>
          <w:sz w:val="20"/>
        </w:rPr>
        <w:t>2</w:t>
      </w:r>
      <w:r w:rsidR="000A2FBF">
        <w:rPr>
          <w:rFonts w:ascii="Arial Black" w:hAnsi="Arial Black"/>
          <w:sz w:val="20"/>
        </w:rPr>
        <w:t>8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0A2FBF" w:rsidRPr="000A2FBF" w:rsidRDefault="00521556" w:rsidP="009A175C">
      <w:pPr>
        <w:pStyle w:val="Listaconvietas"/>
        <w:numPr>
          <w:ilvl w:val="0"/>
          <w:numId w:val="35"/>
        </w:numPr>
        <w:ind w:left="709"/>
        <w:rPr>
          <w:b/>
          <w:i/>
          <w:lang w:val="es-ES"/>
        </w:rPr>
      </w:pPr>
      <w:r>
        <w:t>Objeto de la contratación</w:t>
      </w:r>
      <w:r w:rsidR="004E3EA4">
        <w:t>:</w:t>
      </w:r>
      <w:r>
        <w:t xml:space="preserve"> </w:t>
      </w:r>
      <w:r w:rsidR="000A2FBF" w:rsidRPr="000A2FBF">
        <w:rPr>
          <w:b/>
          <w:i/>
        </w:rPr>
        <w:t xml:space="preserve">del </w:t>
      </w:r>
      <w:r w:rsidR="000A2FBF" w:rsidRPr="000A2FBF">
        <w:rPr>
          <w:b/>
          <w:i/>
          <w:lang w:val="es-ES"/>
        </w:rPr>
        <w:t xml:space="preserve">Servicio de Mantenimiento Preventivo y Correctivo de la Planta de Tratamiento de Efluentes de Líquidos cloacales del Edificio del Ministerio Público Fiscal Av. Larroque N° 2300 –Banfield, por el período </w:t>
      </w:r>
      <w:r w:rsidR="000A2FBF">
        <w:rPr>
          <w:b/>
          <w:i/>
          <w:lang w:val="es-ES"/>
        </w:rPr>
        <w:t>d</w:t>
      </w:r>
      <w:r w:rsidR="000A2FBF" w:rsidRPr="000A2FBF">
        <w:rPr>
          <w:b/>
          <w:i/>
          <w:lang w:val="es-ES"/>
        </w:rPr>
        <w:t xml:space="preserve">el 3er. Trimestre, </w:t>
      </w:r>
      <w:r w:rsidR="000A2FBF" w:rsidRPr="000A2FBF">
        <w:rPr>
          <w:b/>
          <w:i/>
        </w:rPr>
        <w:t xml:space="preserve"> y correrá desde el 1 de Octubre de 2024, o desde la fecha que indique la correspondiente Orden de Provisión, si se emitiera en fecha posterior, y finalizará cumplido los 3 meses..</w:t>
      </w:r>
    </w:p>
    <w:p w:rsidR="00086DE4" w:rsidRPr="000A2FBF" w:rsidRDefault="00086DE4" w:rsidP="00D726E0">
      <w:pPr>
        <w:pStyle w:val="Listaconvietas"/>
        <w:numPr>
          <w:ilvl w:val="0"/>
          <w:numId w:val="35"/>
        </w:numPr>
        <w:ind w:left="709"/>
        <w:rPr>
          <w:b/>
        </w:rPr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396701">
        <w:rPr>
          <w:b/>
        </w:rPr>
        <w:t>0</w:t>
      </w:r>
      <w:r w:rsidR="000A2FBF">
        <w:rPr>
          <w:b/>
        </w:rPr>
        <w:t>6</w:t>
      </w:r>
      <w:r w:rsidR="00086DE4">
        <w:rPr>
          <w:b/>
        </w:rPr>
        <w:t xml:space="preserve"> de </w:t>
      </w:r>
      <w:r w:rsidR="00396701">
        <w:rPr>
          <w:b/>
        </w:rPr>
        <w:t>Octubre</w:t>
      </w:r>
      <w:r w:rsidR="00521556" w:rsidRPr="00521556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396701">
        <w:rPr>
          <w:b/>
        </w:rPr>
        <w:t>1</w:t>
      </w:r>
      <w:r w:rsidR="00521556" w:rsidRPr="00521556">
        <w:rPr>
          <w:b/>
        </w:rPr>
        <w:t>.00 hs</w:t>
      </w:r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r w:rsidR="008268EB">
        <w:rPr>
          <w:rFonts w:ascii="Arial" w:eastAsia="Calibri" w:hAnsi="Arial" w:cs="Arial"/>
        </w:rPr>
        <w:t>Larroque N° 2450 esq. Pte. Perón, Planta Baja, Sector I,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r w:rsidRPr="007F5124">
        <w:rPr>
          <w:rFonts w:ascii="Arial" w:hAnsi="Arial" w:cs="Arial"/>
        </w:rPr>
        <w:t>aún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r w:rsidR="008268EB">
        <w:rPr>
          <w:sz w:val="22"/>
          <w:szCs w:val="22"/>
        </w:rPr>
        <w:t>Larroque N° 2450 esq. Pte. Perón, Planta Baja, Sector I, Banfield</w:t>
      </w:r>
      <w:r w:rsidRPr="007F5124">
        <w:rPr>
          <w:sz w:val="22"/>
          <w:szCs w:val="22"/>
        </w:rPr>
        <w:t xml:space="preserve">, el día </w:t>
      </w:r>
      <w:r w:rsidR="00396701">
        <w:rPr>
          <w:sz w:val="22"/>
          <w:szCs w:val="22"/>
        </w:rPr>
        <w:t>0</w:t>
      </w:r>
      <w:r w:rsidR="000A2FBF">
        <w:rPr>
          <w:sz w:val="22"/>
          <w:szCs w:val="22"/>
        </w:rPr>
        <w:t>6</w:t>
      </w:r>
      <w:r w:rsidR="00396701">
        <w:rPr>
          <w:sz w:val="22"/>
          <w:szCs w:val="22"/>
        </w:rPr>
        <w:t xml:space="preserve"> de Octubre</w:t>
      </w:r>
      <w:r w:rsidR="00607D5A">
        <w:rPr>
          <w:sz w:val="22"/>
          <w:szCs w:val="22"/>
        </w:rPr>
        <w:t xml:space="preserve"> de 2024</w:t>
      </w:r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</w:t>
      </w:r>
      <w:r w:rsidR="00396701">
        <w:rPr>
          <w:sz w:val="22"/>
          <w:szCs w:val="22"/>
        </w:rPr>
        <w:t>1</w:t>
      </w:r>
      <w:r w:rsidR="003E3C95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F5124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607D5A" w:rsidRDefault="002F1873" w:rsidP="00607D5A">
      <w:pPr>
        <w:pStyle w:val="Prrafodelista"/>
        <w:numPr>
          <w:ilvl w:val="1"/>
          <w:numId w:val="29"/>
        </w:numPr>
        <w:spacing w:after="120" w:line="240" w:lineRule="auto"/>
        <w:rPr>
          <w:rFonts w:ascii="Arial" w:hAnsi="Arial" w:cs="Arial"/>
        </w:rPr>
      </w:pPr>
      <w:r w:rsidRPr="00607D5A">
        <w:rPr>
          <w:rFonts w:ascii="Arial" w:hAnsi="Arial" w:cs="Arial"/>
        </w:rPr>
        <w:t>Toda documentación debe</w:t>
      </w:r>
      <w:r w:rsidR="00594664" w:rsidRPr="00607D5A">
        <w:rPr>
          <w:rFonts w:ascii="Arial" w:hAnsi="Arial" w:cs="Arial"/>
        </w:rPr>
        <w:t xml:space="preserve">rá ser presentada en una </w:t>
      </w:r>
      <w:r w:rsidRPr="00607D5A">
        <w:rPr>
          <w:rFonts w:ascii="Arial" w:hAnsi="Arial" w:cs="Arial"/>
        </w:rPr>
        <w:t xml:space="preserve">copia </w:t>
      </w:r>
      <w:r w:rsidR="00594664" w:rsidRPr="00607D5A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 w:rsidRPr="006768D1">
        <w:rPr>
          <w:rFonts w:ascii="Arial" w:hAnsi="Arial" w:cs="Arial"/>
        </w:rPr>
        <w:lastRenderedPageBreak/>
        <w:t>Cuando fueren documentos o constancias emitidas por Contador Público Nacional, su firma debe estar legalizada por el Consejo Profesional respectivo.</w:t>
      </w:r>
    </w:p>
    <w:p w:rsidR="00D21D45" w:rsidRDefault="002F1873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607D5A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607D5A">
      <w:pPr>
        <w:numPr>
          <w:ilvl w:val="1"/>
          <w:numId w:val="36"/>
        </w:numPr>
        <w:spacing w:after="0" w:line="240" w:lineRule="auto"/>
        <w:ind w:left="993" w:hanging="426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9C185A" w:rsidRDefault="009C185A" w:rsidP="009C185A">
      <w:pPr>
        <w:jc w:val="both"/>
      </w:pPr>
      <w:r>
        <w:rPr>
          <w:rFonts w:ascii="Arial" w:hAnsi="Arial" w:cs="Arial"/>
          <w:u w:val="single"/>
          <w:lang w:val="es-MX" w:eastAsia="ar-SA"/>
        </w:rPr>
        <w:t>REQUISITOS TÉCNICOS</w:t>
      </w:r>
      <w:r>
        <w:rPr>
          <w:rFonts w:ascii="Arial" w:hAnsi="Arial" w:cs="Arial"/>
          <w:b/>
          <w:i/>
          <w:lang w:val="es-MX" w:eastAsia="ar-SA"/>
        </w:rPr>
        <w:t xml:space="preserve">: </w:t>
      </w:r>
    </w:p>
    <w:p w:rsidR="009C185A" w:rsidRDefault="009C185A" w:rsidP="000A2FBF">
      <w:pPr>
        <w:jc w:val="both"/>
      </w:pPr>
      <w:r>
        <w:rPr>
          <w:rFonts w:ascii="Arial" w:hAnsi="Arial" w:cs="Arial"/>
          <w:lang w:val="es-MX" w:eastAsia="ar-SA"/>
        </w:rPr>
        <w:t>En un todo de acuerdo a las Especificaciones Técnicas correspondientes</w:t>
      </w:r>
    </w:p>
    <w:p w:rsidR="009C185A" w:rsidRPr="006768D1" w:rsidRDefault="009C185A" w:rsidP="009C185A">
      <w:pPr>
        <w:spacing w:after="120" w:line="240" w:lineRule="auto"/>
        <w:ind w:left="993"/>
        <w:jc w:val="both"/>
        <w:rPr>
          <w:rFonts w:ascii="Arial" w:hAnsi="Arial" w:cs="Arial"/>
        </w:rPr>
      </w:pP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End w:id="33"/>
      <w:r w:rsidR="00607D5A">
        <w:rPr>
          <w:sz w:val="22"/>
          <w:szCs w:val="22"/>
        </w:rPr>
        <w:t>Prestación del Servicio</w:t>
      </w:r>
    </w:p>
    <w:p w:rsidR="009C185A" w:rsidRDefault="000A2FBF" w:rsidP="009C185A">
      <w:pPr>
        <w:spacing w:before="120"/>
        <w:jc w:val="both"/>
      </w:pPr>
      <w:r w:rsidRPr="007F5124">
        <w:rPr>
          <w:rFonts w:ascii="Arial" w:hAnsi="Arial" w:cs="Arial"/>
          <w:lang w:val="es-MX"/>
        </w:rPr>
        <w:t xml:space="preserve">Los </w:t>
      </w:r>
      <w:r>
        <w:rPr>
          <w:rFonts w:ascii="Arial" w:hAnsi="Arial" w:cs="Arial"/>
          <w:lang w:val="es-MX"/>
        </w:rPr>
        <w:t>Servicios se prestarán</w:t>
      </w:r>
      <w:r w:rsidRPr="007F5124">
        <w:rPr>
          <w:rFonts w:ascii="Arial" w:hAnsi="Arial" w:cs="Arial"/>
          <w:lang w:val="es-MX"/>
        </w:rPr>
        <w:t xml:space="preserve"> en edificio de calle </w:t>
      </w:r>
      <w:r>
        <w:rPr>
          <w:rFonts w:ascii="Arial" w:hAnsi="Arial" w:cs="Arial"/>
          <w:lang w:val="es-MX"/>
        </w:rPr>
        <w:t>Larroque N° 2300 Banfield.</w:t>
      </w:r>
      <w:r w:rsidRPr="007F5124">
        <w:rPr>
          <w:rFonts w:ascii="Arial" w:hAnsi="Arial" w:cs="Arial"/>
          <w:lang w:val="es-MX"/>
        </w:rPr>
        <w:t xml:space="preserve"> Debiéndose contactar previamente para coordinar </w:t>
      </w:r>
      <w:r>
        <w:rPr>
          <w:rFonts w:ascii="Arial" w:hAnsi="Arial" w:cs="Arial"/>
          <w:lang w:val="es-MX"/>
        </w:rPr>
        <w:t>el Servicio</w:t>
      </w:r>
      <w:r w:rsidRPr="007F5124">
        <w:rPr>
          <w:rFonts w:ascii="Arial" w:hAnsi="Arial" w:cs="Arial"/>
          <w:lang w:val="es-MX"/>
        </w:rPr>
        <w:t xml:space="preserve"> con </w:t>
      </w:r>
      <w:r>
        <w:rPr>
          <w:rFonts w:ascii="Arial" w:hAnsi="Arial" w:cs="Arial"/>
          <w:lang w:val="es-MX"/>
        </w:rPr>
        <w:t>la Delegación de Arquitectura e Infraestructura de Lomas de Zamora al teléfono 11-4193-7022 Arq. Eduardo Benitez.</w:t>
      </w:r>
      <w:r w:rsidR="009C185A">
        <w:rPr>
          <w:rFonts w:ascii="Arial" w:hAnsi="Arial" w:cs="Arial"/>
          <w:szCs w:val="20"/>
          <w:lang w:eastAsia="ar-SA"/>
        </w:rPr>
        <w:t>.</w:t>
      </w:r>
    </w:p>
    <w:p w:rsidR="002F1873" w:rsidRPr="003D1DD6" w:rsidRDefault="00607D5A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607D5A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</w:t>
      </w:r>
      <w:r>
        <w:rPr>
          <w:rFonts w:ascii="Arial" w:hAnsi="Arial" w:cs="Arial"/>
          <w:i/>
        </w:rPr>
        <w:t xml:space="preserve">servicios deberán ser realizados durante los meses de Octubre a Diciembre </w:t>
      </w:r>
      <w:r w:rsidR="00AA0B4D">
        <w:rPr>
          <w:rFonts w:ascii="Arial" w:hAnsi="Arial" w:cs="Arial"/>
          <w:i/>
        </w:rPr>
        <w:t xml:space="preserve">2024 </w:t>
      </w:r>
      <w:r w:rsidR="002F1873" w:rsidRPr="007F5124">
        <w:rPr>
          <w:rFonts w:ascii="Arial" w:hAnsi="Arial" w:cs="Arial"/>
        </w:rPr>
        <w:t xml:space="preserve">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AA0B4D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1"/>
      <w:bookmarkEnd w:id="34"/>
      <w:r w:rsidRPr="007F5124">
        <w:rPr>
          <w:sz w:val="22"/>
          <w:szCs w:val="22"/>
        </w:rPr>
        <w:lastRenderedPageBreak/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t>Obligaciones del oferente</w:t>
      </w:r>
      <w:bookmarkEnd w:id="36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bookmarkStart w:id="39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0A2FBF" w:rsidRPr="000A2FBF" w:rsidRDefault="000A2FBF" w:rsidP="000A2FB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0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0A2FBF">
        <w:rPr>
          <w:sz w:val="22"/>
          <w:szCs w:val="22"/>
        </w:rPr>
        <w:t xml:space="preserve"> Fletes</w:t>
      </w:r>
    </w:p>
    <w:p w:rsidR="000A2FBF" w:rsidRPr="000A2FBF" w:rsidRDefault="000A2FBF" w:rsidP="000A2FBF">
      <w:pPr>
        <w:jc w:val="both"/>
        <w:rPr>
          <w:rFonts w:ascii="Arial" w:hAnsi="Arial" w:cs="Arial"/>
          <w:lang w:val="es-MX"/>
        </w:rPr>
      </w:pPr>
      <w:r w:rsidRPr="000A2FBF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0A2FBF" w:rsidRPr="00864AEF" w:rsidRDefault="000A2FBF" w:rsidP="00864AEF">
      <w:pPr>
        <w:jc w:val="both"/>
        <w:rPr>
          <w:rFonts w:ascii="Arial" w:hAnsi="Arial" w:cs="Arial"/>
        </w:rPr>
      </w:pPr>
    </w:p>
    <w:bookmarkEnd w:id="38"/>
    <w:p w:rsidR="00CE78AC" w:rsidRPr="00CE78AC" w:rsidRDefault="00CE78AC" w:rsidP="00CE78AC">
      <w:pPr>
        <w:jc w:val="both"/>
        <w:rPr>
          <w:rFonts w:ascii="Arial" w:eastAsia="Times New Roman" w:hAnsi="Arial" w:cs="Times New Roman"/>
          <w:b/>
          <w:spacing w:val="-2"/>
          <w:lang w:val="es-MX" w:eastAsia="ar-SA"/>
        </w:rPr>
      </w:pPr>
      <w:r w:rsidRPr="00CE78AC">
        <w:rPr>
          <w:rFonts w:ascii="Arial" w:eastAsia="Times New Roman" w:hAnsi="Arial" w:cs="Times New Roman"/>
          <w:b/>
          <w:spacing w:val="-2"/>
          <w:lang w:val="es-MX" w:eastAsia="ar-SA"/>
        </w:rPr>
        <w:t>1</w:t>
      </w:r>
      <w:r>
        <w:rPr>
          <w:rFonts w:ascii="Arial" w:eastAsia="Times New Roman" w:hAnsi="Arial" w:cs="Times New Roman"/>
          <w:b/>
          <w:spacing w:val="-2"/>
          <w:lang w:val="es-MX" w:eastAsia="ar-SA"/>
        </w:rPr>
        <w:t>7</w:t>
      </w:r>
      <w:r w:rsidRPr="00CE78AC">
        <w:rPr>
          <w:rFonts w:ascii="Arial" w:eastAsia="Times New Roman" w:hAnsi="Arial" w:cs="Times New Roman"/>
          <w:b/>
          <w:spacing w:val="-2"/>
          <w:lang w:val="es-MX" w:eastAsia="ar-SA"/>
        </w:rPr>
        <w:t xml:space="preserve">. </w:t>
      </w:r>
      <w:r w:rsidR="000A2FBF">
        <w:rPr>
          <w:rFonts w:ascii="Arial" w:eastAsia="Times New Roman" w:hAnsi="Arial" w:cs="Times New Roman"/>
          <w:b/>
          <w:spacing w:val="-2"/>
          <w:lang w:eastAsia="ar-SA"/>
        </w:rPr>
        <w:t>Forma de Entrega</w:t>
      </w:r>
    </w:p>
    <w:p w:rsidR="000A2FBF" w:rsidRPr="003D1DD6" w:rsidRDefault="000A2FBF" w:rsidP="000A2F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Los trabajos de mantenimiento deberán realizarse</w:t>
      </w:r>
      <w:r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0A2FBF" w:rsidRPr="003D1DD6" w:rsidRDefault="000A2FBF" w:rsidP="000A2F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 realizará</w:t>
      </w:r>
      <w:r w:rsidRPr="003D1DD6">
        <w:rPr>
          <w:rFonts w:ascii="Arial" w:hAnsi="Arial" w:cs="Arial"/>
        </w:rPr>
        <w:t xml:space="preserve"> bajo remito que detallará </w:t>
      </w:r>
      <w:r>
        <w:rPr>
          <w:rFonts w:ascii="Arial" w:hAnsi="Arial" w:cs="Arial"/>
        </w:rPr>
        <w:t xml:space="preserve">los trabajos realizados conforme las </w:t>
      </w:r>
      <w:r w:rsidRPr="00816C0D">
        <w:rPr>
          <w:rFonts w:ascii="Arial" w:hAnsi="Arial" w:cs="Arial"/>
          <w:b/>
        </w:rPr>
        <w:t>especificaciones técnicas de la Delegación del Departamento de Arquitectura e Infraestructura que forman parte anexa de este pliego</w:t>
      </w:r>
      <w:r>
        <w:rPr>
          <w:rFonts w:ascii="Arial" w:hAnsi="Arial" w:cs="Arial"/>
          <w:b/>
        </w:rPr>
        <w:t>.</w:t>
      </w:r>
    </w:p>
    <w:p w:rsidR="000A2FBF" w:rsidRDefault="000A2FBF" w:rsidP="000A2FBF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311223" w:rsidRPr="00311223" w:rsidRDefault="00CE78AC" w:rsidP="00311223">
      <w:pPr>
        <w:pStyle w:val="Ttulo2"/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bCs/>
        </w:rPr>
        <w:t>18</w:t>
      </w:r>
      <w:r w:rsidRPr="00CE78AC">
        <w:rPr>
          <w:bCs/>
        </w:rPr>
        <w:t xml:space="preserve">. </w:t>
      </w:r>
      <w:bookmarkStart w:id="40" w:name="_Toc206381773"/>
      <w:r w:rsidR="00311223" w:rsidRPr="00311223">
        <w:rPr>
          <w:sz w:val="22"/>
          <w:szCs w:val="22"/>
        </w:rPr>
        <w:t xml:space="preserve">Recepción de los </w:t>
      </w:r>
      <w:bookmarkEnd w:id="40"/>
      <w:r w:rsidR="00311223" w:rsidRPr="00311223">
        <w:rPr>
          <w:sz w:val="22"/>
          <w:szCs w:val="22"/>
        </w:rPr>
        <w:t xml:space="preserve">materiales </w:t>
      </w:r>
    </w:p>
    <w:p w:rsidR="00311223" w:rsidRPr="00311223" w:rsidRDefault="00311223" w:rsidP="00311223">
      <w:pPr>
        <w:keepNext/>
        <w:tabs>
          <w:tab w:val="left" w:pos="-1440"/>
          <w:tab w:val="left" w:pos="-720"/>
          <w:tab w:val="left" w:pos="0"/>
          <w:tab w:val="left" w:pos="284"/>
          <w:tab w:val="left" w:pos="10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suppressAutoHyphens/>
        <w:spacing w:after="0" w:line="240" w:lineRule="auto"/>
        <w:jc w:val="both"/>
        <w:outlineLvl w:val="1"/>
        <w:rPr>
          <w:rFonts w:ascii="Arial" w:eastAsia="Times New Roman" w:hAnsi="Arial" w:cs="Arial"/>
          <w:b/>
          <w:spacing w:val="-2"/>
          <w:lang w:val="es-MX" w:eastAsia="ar-SA"/>
        </w:rPr>
      </w:pPr>
      <w:r w:rsidRPr="00311223">
        <w:rPr>
          <w:rFonts w:ascii="Arial" w:eastAsia="Times New Roman" w:hAnsi="Arial" w:cs="Arial"/>
          <w:spacing w:val="-2"/>
          <w:lang w:val="es-MX" w:eastAsia="ar-SA"/>
        </w:rPr>
        <w:t>La recepción tendrá el carácter de provisoria y estará sujeta a verificación posterior.</w:t>
      </w:r>
    </w:p>
    <w:p w:rsidR="00311223" w:rsidRPr="00311223" w:rsidRDefault="00CE78AC" w:rsidP="00311223">
      <w:pPr>
        <w:pStyle w:val="Ttulo2"/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1" w:name="_Toc206381772"/>
      <w:r>
        <w:rPr>
          <w:sz w:val="22"/>
          <w:szCs w:val="22"/>
        </w:rPr>
        <w:t>19.</w:t>
      </w:r>
      <w:bookmarkStart w:id="42" w:name="_Toc206381774"/>
      <w:bookmarkEnd w:id="41"/>
      <w:r w:rsidR="00311223" w:rsidRPr="00311223">
        <w:rPr>
          <w:sz w:val="22"/>
          <w:szCs w:val="22"/>
        </w:rPr>
        <w:t xml:space="preserve"> Recepción definitiva de lo contratado.</w:t>
      </w:r>
      <w:bookmarkEnd w:id="42"/>
    </w:p>
    <w:p w:rsidR="00311223" w:rsidRPr="00311223" w:rsidRDefault="00311223" w:rsidP="00311223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es-MX" w:eastAsia="ar-SA"/>
        </w:rPr>
      </w:pPr>
      <w:r w:rsidRPr="00311223">
        <w:rPr>
          <w:rFonts w:ascii="Arial" w:eastAsia="Times New Roman" w:hAnsi="Arial" w:cs="Arial"/>
          <w:lang w:val="es-MX" w:eastAsia="ar-SA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11223">
          <w:rPr>
            <w:rFonts w:ascii="Arial" w:eastAsia="Times New Roman" w:hAnsi="Arial" w:cs="Arial"/>
            <w:lang w:val="es-MX" w:eastAsia="ar-SA"/>
          </w:rPr>
          <w:t>la Orden</w:t>
        </w:r>
      </w:smartTag>
      <w:r w:rsidRPr="00311223">
        <w:rPr>
          <w:rFonts w:ascii="Arial" w:eastAsia="Times New Roman" w:hAnsi="Arial" w:cs="Arial"/>
          <w:lang w:val="es-MX" w:eastAsia="ar-SA"/>
        </w:rPr>
        <w:t xml:space="preserve"> de Provisión, será acreditada por el adjudicatario mediante certificado expedido al efecto.</w:t>
      </w:r>
    </w:p>
    <w:p w:rsidR="002F1873" w:rsidRPr="00864AEF" w:rsidRDefault="00CE78AC" w:rsidP="00311223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>20.</w:t>
      </w:r>
      <w:r w:rsidR="002F1873"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co</w:t>
      </w:r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311223" w:rsidRPr="00311223" w:rsidRDefault="00CE78AC" w:rsidP="00311223">
      <w:pPr>
        <w:pStyle w:val="Ttulo2"/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bCs/>
        </w:rPr>
        <w:t>21.</w:t>
      </w:r>
      <w:r w:rsidR="00311223" w:rsidRPr="00311223">
        <w:rPr>
          <w:sz w:val="22"/>
          <w:szCs w:val="22"/>
        </w:rPr>
        <w:t xml:space="preserve"> Facturas y Pago</w:t>
      </w:r>
    </w:p>
    <w:p w:rsidR="00311223" w:rsidRPr="00311223" w:rsidRDefault="00311223" w:rsidP="00311223">
      <w:pPr>
        <w:suppressAutoHyphens/>
        <w:spacing w:after="12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>Las facturas deberán ser confeccionadas conforme los términos establecidos por la Administración Federal de Ingresos Públicos y presentadas en original en la mesa de entradas de la Delegación de Administración, sita en calle Larroque N° 2450, esq. Pte. Perón, Planta Baja, Sector I, Banfield.</w:t>
      </w:r>
    </w:p>
    <w:p w:rsidR="00311223" w:rsidRPr="00311223" w:rsidRDefault="00311223" w:rsidP="00311223">
      <w:pPr>
        <w:suppressAutoHyphens/>
        <w:spacing w:after="120" w:line="240" w:lineRule="auto"/>
        <w:ind w:left="1134" w:hanging="1134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>Alternativamente, podrá remitirse la factura electrónica al siguiente mail: administración.lz @mpba.gov.ar</w:t>
      </w: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</w:p>
    <w:p w:rsid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 xml:space="preserve">La factura se deberá extender a nombre del Poder Judicial-Ministerio Público, CUIT: 30-70721666-9, </w:t>
      </w:r>
      <w:r w:rsidRPr="00311223">
        <w:rPr>
          <w:rFonts w:ascii="Arial" w:eastAsia="Times New Roman" w:hAnsi="Arial" w:cs="Arial"/>
          <w:b/>
          <w:lang w:eastAsia="ar-SA"/>
        </w:rPr>
        <w:t>condición frente al IVA “</w:t>
      </w:r>
      <w:r>
        <w:rPr>
          <w:rFonts w:ascii="Arial" w:eastAsia="Times New Roman" w:hAnsi="Arial" w:cs="Arial"/>
          <w:b/>
          <w:lang w:eastAsia="ar-SA"/>
        </w:rPr>
        <w:t>N</w:t>
      </w:r>
      <w:r w:rsidRPr="00311223">
        <w:rPr>
          <w:rFonts w:ascii="Arial" w:eastAsia="Times New Roman" w:hAnsi="Arial" w:cs="Arial"/>
          <w:b/>
          <w:lang w:eastAsia="ar-SA"/>
        </w:rPr>
        <w:t xml:space="preserve">o </w:t>
      </w:r>
      <w:r>
        <w:rPr>
          <w:rFonts w:ascii="Arial" w:eastAsia="Times New Roman" w:hAnsi="Arial" w:cs="Arial"/>
          <w:b/>
          <w:lang w:eastAsia="ar-SA"/>
        </w:rPr>
        <w:t>A</w:t>
      </w:r>
      <w:r w:rsidRPr="00311223">
        <w:rPr>
          <w:rFonts w:ascii="Arial" w:eastAsia="Times New Roman" w:hAnsi="Arial" w:cs="Arial"/>
          <w:b/>
          <w:lang w:eastAsia="ar-SA"/>
        </w:rPr>
        <w:t>lcanzado”, forma de pago: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311223">
        <w:rPr>
          <w:rFonts w:ascii="Arial" w:eastAsia="Times New Roman" w:hAnsi="Arial" w:cs="Arial"/>
          <w:b/>
          <w:lang w:eastAsia="ar-SA"/>
        </w:rPr>
        <w:t xml:space="preserve">OTROS </w:t>
      </w:r>
      <w:r w:rsidRPr="00311223">
        <w:rPr>
          <w:rFonts w:ascii="Arial" w:eastAsia="Times New Roman" w:hAnsi="Arial" w:cs="Arial"/>
          <w:b/>
          <w:lang w:val="es-ES" w:eastAsia="ar-SA"/>
        </w:rPr>
        <w:t>y deberá constar:</w:t>
      </w: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</w:p>
    <w:p w:rsidR="00311223" w:rsidRPr="00311223" w:rsidRDefault="00311223" w:rsidP="00311223">
      <w:pPr>
        <w:numPr>
          <w:ilvl w:val="0"/>
          <w:numId w:val="37"/>
        </w:num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>-Número y fecha de la Orden de Provisión que corresponda.</w:t>
      </w:r>
    </w:p>
    <w:p w:rsidR="00311223" w:rsidRPr="00311223" w:rsidRDefault="00311223" w:rsidP="00311223">
      <w:pPr>
        <w:numPr>
          <w:ilvl w:val="0"/>
          <w:numId w:val="37"/>
        </w:num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>-Descripción de los conceptos facturados.</w:t>
      </w:r>
    </w:p>
    <w:p w:rsidR="00311223" w:rsidRPr="00311223" w:rsidRDefault="00311223" w:rsidP="00311223">
      <w:pPr>
        <w:numPr>
          <w:ilvl w:val="0"/>
          <w:numId w:val="37"/>
        </w:numPr>
        <w:suppressAutoHyphens/>
        <w:spacing w:after="0" w:line="240" w:lineRule="auto"/>
        <w:rPr>
          <w:rFonts w:ascii="Arial" w:eastAsia="Times New Roman" w:hAnsi="Arial" w:cs="Arial"/>
          <w:b/>
          <w:lang w:val="es-ES" w:eastAsia="ar-SA"/>
        </w:rPr>
      </w:pPr>
      <w:r w:rsidRPr="00311223">
        <w:rPr>
          <w:rFonts w:ascii="Arial" w:eastAsia="Times New Roman" w:hAnsi="Arial" w:cs="Arial"/>
          <w:b/>
          <w:lang w:val="es-ES" w:eastAsia="ar-SA"/>
        </w:rPr>
        <w:t>-Importe total de la factura.</w:t>
      </w: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</w:p>
    <w:p w:rsidR="00311223" w:rsidRPr="00311223" w:rsidRDefault="00311223" w:rsidP="00311223">
      <w:p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>La factura deberá estar acompañada de la siguiente documentación:</w:t>
      </w:r>
    </w:p>
    <w:p w:rsidR="00311223" w:rsidRPr="00311223" w:rsidRDefault="00311223" w:rsidP="00311223">
      <w:pPr>
        <w:numPr>
          <w:ilvl w:val="0"/>
          <w:numId w:val="38"/>
        </w:num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 xml:space="preserve">-Remito/s, </w:t>
      </w:r>
      <w:r w:rsidRPr="00311223">
        <w:rPr>
          <w:rFonts w:ascii="Arial" w:eastAsia="Times New Roman" w:hAnsi="Arial" w:cs="Arial"/>
          <w:color w:val="000000" w:themeColor="text1"/>
          <w:szCs w:val="20"/>
          <w:lang w:val="es-ES" w:eastAsia="ar-S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Pr="00311223">
        <w:rPr>
          <w:rFonts w:ascii="Arial" w:eastAsia="Times New Roman" w:hAnsi="Arial" w:cs="Arial"/>
          <w:color w:val="C00000"/>
          <w:szCs w:val="20"/>
          <w:lang w:val="es-ES" w:eastAsia="ar-SA"/>
        </w:rPr>
        <w:t xml:space="preserve">, </w:t>
      </w:r>
      <w:r w:rsidRPr="00311223">
        <w:rPr>
          <w:rFonts w:ascii="Arial" w:eastAsia="Times New Roman" w:hAnsi="Arial" w:cs="Arial"/>
          <w:lang w:val="es-ES" w:eastAsia="ar-SA"/>
        </w:rPr>
        <w:t>que cumplan con las formalidades previstas por la AFIP debidamente firmado/s por el titular de la dependencia que haya recepcionado los bienes o el servicio y/o Acta final de obra.</w:t>
      </w:r>
    </w:p>
    <w:p w:rsidR="00311223" w:rsidRPr="00311223" w:rsidRDefault="00311223" w:rsidP="00311223">
      <w:pPr>
        <w:numPr>
          <w:ilvl w:val="0"/>
          <w:numId w:val="38"/>
        </w:numPr>
        <w:suppressAutoHyphens/>
        <w:spacing w:after="0" w:line="240" w:lineRule="auto"/>
        <w:rPr>
          <w:rFonts w:ascii="Arial" w:eastAsia="Times New Roman" w:hAnsi="Arial" w:cs="Arial"/>
          <w:lang w:val="es-ES" w:eastAsia="ar-SA"/>
        </w:rPr>
      </w:pPr>
      <w:r w:rsidRPr="00311223">
        <w:rPr>
          <w:rFonts w:ascii="Arial" w:eastAsia="Times New Roman" w:hAnsi="Arial" w:cs="Arial"/>
          <w:lang w:val="es-ES" w:eastAsia="ar-SA"/>
        </w:rPr>
        <w:t>-Constancia de inscripción ante la AFIP.</w:t>
      </w:r>
    </w:p>
    <w:p w:rsidR="00311223" w:rsidRPr="00311223" w:rsidRDefault="00311223" w:rsidP="00311223">
      <w:pPr>
        <w:jc w:val="both"/>
        <w:rPr>
          <w:rFonts w:ascii="Arial" w:hAnsi="Arial" w:cs="Arial"/>
        </w:rPr>
      </w:pPr>
    </w:p>
    <w:p w:rsidR="00311223" w:rsidRPr="00311223" w:rsidRDefault="00311223" w:rsidP="00311223">
      <w:pPr>
        <w:jc w:val="both"/>
        <w:rPr>
          <w:rFonts w:ascii="Arial" w:hAnsi="Arial" w:cs="Arial"/>
          <w:color w:val="000000"/>
        </w:rPr>
      </w:pPr>
      <w:r w:rsidRPr="00311223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factura y documentación requerida.</w:t>
      </w:r>
    </w:p>
    <w:p w:rsidR="00311223" w:rsidRPr="00311223" w:rsidRDefault="00311223" w:rsidP="00311223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311223">
        <w:rPr>
          <w:rFonts w:ascii="Arial" w:hAnsi="Arial" w:cs="Arial"/>
          <w:color w:val="000000"/>
        </w:rPr>
        <w:lastRenderedPageBreak/>
        <w:t>El pago se efectivizará, mediante pago electrónico a través de interdepósito o transferencia bancaria sobre la cuenta en moneda nacional que los proveedores deberán tener operativa.</w:t>
      </w:r>
    </w:p>
    <w:p w:rsidR="00311223" w:rsidRPr="00311223" w:rsidRDefault="00311223" w:rsidP="0031122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311223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bookmarkEnd w:id="39"/>
    <w:p w:rsidR="00A138C0" w:rsidRPr="00F53BB4" w:rsidRDefault="00A138C0" w:rsidP="00311223">
      <w:pPr>
        <w:pStyle w:val="Ttulo2"/>
        <w:tabs>
          <w:tab w:val="clear" w:pos="0"/>
          <w:tab w:val="left" w:pos="360"/>
        </w:tabs>
        <w:spacing w:after="120"/>
        <w:rPr>
          <w:rFonts w:cs="Arial"/>
        </w:rPr>
      </w:pPr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19A" w:rsidRDefault="00ED219A" w:rsidP="00276102">
      <w:pPr>
        <w:spacing w:after="0" w:line="240" w:lineRule="auto"/>
      </w:pPr>
      <w:r>
        <w:separator/>
      </w:r>
    </w:p>
  </w:endnote>
  <w:endnote w:type="continuationSeparator" w:id="0">
    <w:p w:rsidR="00ED219A" w:rsidRDefault="00ED219A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19A" w:rsidRDefault="00ED219A" w:rsidP="00276102">
      <w:pPr>
        <w:spacing w:after="0" w:line="240" w:lineRule="auto"/>
      </w:pPr>
      <w:r>
        <w:separator/>
      </w:r>
    </w:p>
  </w:footnote>
  <w:footnote w:type="continuationSeparator" w:id="0">
    <w:p w:rsidR="00ED219A" w:rsidRDefault="00ED219A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1065" w:hanging="360"/>
      </w:pPr>
      <w:rPr>
        <w:rFonts w:ascii="Arial" w:eastAsia="Times New Roman" w:hAnsi="Arial" w:cs="Arial"/>
        <w:sz w:val="22"/>
        <w:szCs w:val="22"/>
        <w:lang w:val="es-MX" w:eastAsia="ar-SA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1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E5DC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5" w15:restartNumberingAfterBreak="0">
    <w:nsid w:val="495B6D62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6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5985061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33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4"/>
  </w:num>
  <w:num w:numId="3">
    <w:abstractNumId w:val="14"/>
  </w:num>
  <w:num w:numId="4">
    <w:abstractNumId w:val="5"/>
  </w:num>
  <w:num w:numId="5">
    <w:abstractNumId w:val="36"/>
  </w:num>
  <w:num w:numId="6">
    <w:abstractNumId w:val="16"/>
  </w:num>
  <w:num w:numId="7">
    <w:abstractNumId w:val="39"/>
  </w:num>
  <w:num w:numId="8">
    <w:abstractNumId w:val="30"/>
  </w:num>
  <w:num w:numId="9">
    <w:abstractNumId w:val="12"/>
  </w:num>
  <w:num w:numId="10">
    <w:abstractNumId w:val="44"/>
  </w:num>
  <w:num w:numId="11">
    <w:abstractNumId w:val="35"/>
  </w:num>
  <w:num w:numId="12">
    <w:abstractNumId w:val="33"/>
  </w:num>
  <w:num w:numId="13">
    <w:abstractNumId w:val="13"/>
  </w:num>
  <w:num w:numId="14">
    <w:abstractNumId w:val="46"/>
  </w:num>
  <w:num w:numId="15">
    <w:abstractNumId w:val="20"/>
  </w:num>
  <w:num w:numId="16">
    <w:abstractNumId w:val="6"/>
  </w:num>
  <w:num w:numId="17">
    <w:abstractNumId w:val="19"/>
  </w:num>
  <w:num w:numId="18">
    <w:abstractNumId w:val="11"/>
  </w:num>
  <w:num w:numId="19">
    <w:abstractNumId w:val="41"/>
  </w:num>
  <w:num w:numId="20">
    <w:abstractNumId w:val="29"/>
  </w:num>
  <w:num w:numId="21">
    <w:abstractNumId w:val="10"/>
  </w:num>
  <w:num w:numId="22">
    <w:abstractNumId w:val="28"/>
  </w:num>
  <w:num w:numId="23">
    <w:abstractNumId w:val="4"/>
  </w:num>
  <w:num w:numId="24">
    <w:abstractNumId w:val="15"/>
  </w:num>
  <w:num w:numId="25">
    <w:abstractNumId w:val="8"/>
  </w:num>
  <w:num w:numId="26">
    <w:abstractNumId w:val="42"/>
  </w:num>
  <w:num w:numId="27">
    <w:abstractNumId w:val="22"/>
  </w:num>
  <w:num w:numId="28">
    <w:abstractNumId w:val="23"/>
  </w:num>
  <w:num w:numId="29">
    <w:abstractNumId w:val="1"/>
  </w:num>
  <w:num w:numId="30">
    <w:abstractNumId w:val="2"/>
  </w:num>
  <w:num w:numId="31">
    <w:abstractNumId w:val="3"/>
  </w:num>
  <w:num w:numId="32">
    <w:abstractNumId w:val="38"/>
  </w:num>
  <w:num w:numId="33">
    <w:abstractNumId w:val="31"/>
  </w:num>
  <w:num w:numId="34">
    <w:abstractNumId w:val="37"/>
  </w:num>
  <w:num w:numId="35">
    <w:abstractNumId w:val="9"/>
  </w:num>
  <w:num w:numId="36">
    <w:abstractNumId w:val="43"/>
  </w:num>
  <w:num w:numId="37">
    <w:abstractNumId w:val="40"/>
  </w:num>
  <w:num w:numId="38">
    <w:abstractNumId w:val="18"/>
  </w:num>
  <w:num w:numId="39">
    <w:abstractNumId w:val="27"/>
  </w:num>
  <w:num w:numId="40">
    <w:abstractNumId w:val="7"/>
  </w:num>
  <w:num w:numId="41">
    <w:abstractNumId w:val="21"/>
  </w:num>
  <w:num w:numId="42">
    <w:abstractNumId w:val="26"/>
  </w:num>
  <w:num w:numId="43">
    <w:abstractNumId w:val="17"/>
  </w:num>
  <w:num w:numId="44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24"/>
  </w:num>
  <w:num w:numId="47">
    <w:abstractNumId w:val="25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6DE4"/>
    <w:rsid w:val="0008762C"/>
    <w:rsid w:val="00093B67"/>
    <w:rsid w:val="000A2FBF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A4A92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1223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96701"/>
    <w:rsid w:val="003A1A6F"/>
    <w:rsid w:val="003A5252"/>
    <w:rsid w:val="003A5C88"/>
    <w:rsid w:val="003A7E3C"/>
    <w:rsid w:val="003B1A6F"/>
    <w:rsid w:val="003C3E28"/>
    <w:rsid w:val="003D6A6A"/>
    <w:rsid w:val="003E2C03"/>
    <w:rsid w:val="003E3C95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94935"/>
    <w:rsid w:val="004C279B"/>
    <w:rsid w:val="004D02FA"/>
    <w:rsid w:val="004D3329"/>
    <w:rsid w:val="004E29C6"/>
    <w:rsid w:val="004E3EA4"/>
    <w:rsid w:val="004F1CF6"/>
    <w:rsid w:val="00502D05"/>
    <w:rsid w:val="005122BF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07D5A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317A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268EB"/>
    <w:rsid w:val="0083777B"/>
    <w:rsid w:val="00840181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07F3"/>
    <w:rsid w:val="008F1EBC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C185A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A0B4D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44F2B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E78AC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A69D1"/>
    <w:rsid w:val="00EC7A6B"/>
    <w:rsid w:val="00ED219A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677C3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  <w:style w:type="paragraph" w:customStyle="1" w:styleId="Sangra2detindependiente1">
    <w:name w:val="Sangría 2 de t. independiente1"/>
    <w:basedOn w:val="Normal"/>
    <w:rsid w:val="006E317A"/>
    <w:pPr>
      <w:tabs>
        <w:tab w:val="center" w:pos="4749"/>
        <w:tab w:val="right" w:pos="9001"/>
      </w:tabs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53987-6F05-4071-AC5F-F7CFBF76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1907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2024-09-26T13:18:00Z</cp:lastPrinted>
  <dcterms:created xsi:type="dcterms:W3CDTF">2024-10-01T16:49:00Z</dcterms:created>
  <dcterms:modified xsi:type="dcterms:W3CDTF">2024-10-01T16:49:00Z</dcterms:modified>
</cp:coreProperties>
</file>