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F43EA9" w:rsidRPr="00A24FD1" w:rsidRDefault="00DA4311" w:rsidP="00A24FD1">
      <w:pPr>
        <w:pStyle w:val="Prrafodelista"/>
        <w:numPr>
          <w:ilvl w:val="0"/>
          <w:numId w:val="1"/>
        </w:numPr>
        <w:spacing w:line="360" w:lineRule="auto"/>
        <w:ind w:left="709" w:firstLine="0"/>
        <w:jc w:val="both"/>
        <w:rPr>
          <w:rFonts w:ascii="Arial" w:hAnsi="Arial" w:cs="Arial"/>
          <w:sz w:val="22"/>
          <w:szCs w:val="22"/>
          <w:lang w:bidi="es-ES"/>
        </w:rPr>
      </w:pPr>
      <w:r w:rsidRPr="00A24FD1">
        <w:rPr>
          <w:rFonts w:ascii="Arial" w:hAnsi="Arial" w:cs="Arial"/>
          <w:sz w:val="22"/>
          <w:szCs w:val="22"/>
          <w:u w:val="single"/>
        </w:rPr>
        <w:t xml:space="preserve">Asesoría Técnica de Ofertas: </w:t>
      </w:r>
      <w:r w:rsidRPr="00A24FD1">
        <w:rPr>
          <w:rFonts w:ascii="Arial" w:hAnsi="Arial" w:cs="Arial"/>
          <w:sz w:val="22"/>
          <w:szCs w:val="22"/>
        </w:rPr>
        <w:t xml:space="preserve"> </w:t>
      </w:r>
    </w:p>
    <w:p w:rsidR="00A24FD1" w:rsidRPr="00A24FD1" w:rsidRDefault="00A24FD1" w:rsidP="00A24FD1">
      <w:pPr>
        <w:spacing w:line="360" w:lineRule="auto"/>
        <w:ind w:left="709"/>
        <w:jc w:val="both"/>
        <w:rPr>
          <w:rFonts w:ascii="Arial" w:hAnsi="Arial" w:cs="Arial"/>
          <w:lang w:bidi="es-ES"/>
        </w:rPr>
      </w:pPr>
      <w:r w:rsidRPr="00A24FD1">
        <w:rPr>
          <w:rFonts w:ascii="Arial" w:hAnsi="Arial" w:cs="Arial"/>
        </w:rPr>
        <w:t>Ing.</w:t>
      </w:r>
      <w:r w:rsidRPr="00A24FD1">
        <w:rPr>
          <w:rFonts w:ascii="Arial" w:hAnsi="Arial" w:cs="Arial"/>
          <w:lang w:bidi="es-ES"/>
        </w:rPr>
        <w:t xml:space="preserve"> Daniela Barbera –</w:t>
      </w:r>
      <w:r w:rsidRPr="00A24FD1">
        <w:rPr>
          <w:rFonts w:ascii="Arial" w:hAnsi="Arial" w:cs="Arial"/>
          <w:b/>
          <w:lang w:bidi="es-ES"/>
        </w:rPr>
        <w:t xml:space="preserve"> </w:t>
      </w:r>
      <w:r w:rsidRPr="00A24FD1">
        <w:rPr>
          <w:rFonts w:ascii="Arial" w:hAnsi="Arial" w:cs="Arial"/>
          <w:lang w:bidi="es-ES"/>
        </w:rPr>
        <w:t>Subsecretaria de Informática de la Procuración General</w:t>
      </w:r>
    </w:p>
    <w:p w:rsidR="00A24FD1" w:rsidRDefault="00A24FD1" w:rsidP="00A24FD1">
      <w:pPr>
        <w:spacing w:line="360" w:lineRule="auto"/>
        <w:ind w:left="709"/>
        <w:jc w:val="both"/>
        <w:rPr>
          <w:rFonts w:ascii="Arial" w:hAnsi="Arial" w:cs="Arial"/>
          <w:lang w:bidi="es-ES"/>
        </w:rPr>
      </w:pPr>
      <w:r w:rsidRPr="00A24FD1">
        <w:rPr>
          <w:rFonts w:ascii="Arial" w:hAnsi="Arial" w:cs="Arial"/>
          <w:lang w:bidi="es-ES"/>
        </w:rPr>
        <w:t xml:space="preserve">Ing. Juan Pablo </w:t>
      </w:r>
      <w:proofErr w:type="spellStart"/>
      <w:r w:rsidRPr="00A24FD1">
        <w:rPr>
          <w:rFonts w:ascii="Arial" w:hAnsi="Arial" w:cs="Arial"/>
          <w:lang w:bidi="es-ES"/>
        </w:rPr>
        <w:t>Fava</w:t>
      </w:r>
      <w:proofErr w:type="spellEnd"/>
      <w:r w:rsidRPr="00A24FD1">
        <w:rPr>
          <w:rFonts w:ascii="Arial" w:hAnsi="Arial" w:cs="Arial"/>
          <w:lang w:bidi="es-ES"/>
        </w:rPr>
        <w:t xml:space="preserve"> – Director </w:t>
      </w:r>
      <w:r w:rsidRPr="00A24FD1">
        <w:rPr>
          <w:rFonts w:ascii="Arial" w:hAnsi="Arial" w:cs="Arial"/>
        </w:rPr>
        <w:t>de Tecnología y Operaciones</w:t>
      </w:r>
      <w:r w:rsidRPr="00A24FD1">
        <w:rPr>
          <w:rFonts w:ascii="Arial" w:hAnsi="Arial" w:cs="Arial"/>
          <w:lang w:bidi="es-ES"/>
        </w:rPr>
        <w:t xml:space="preserve"> de la Subsecretaría de Informática de la Procuración General.</w:t>
      </w:r>
    </w:p>
    <w:p w:rsidR="00A24FD1" w:rsidRPr="00A24FD1" w:rsidRDefault="00A24FD1" w:rsidP="00A24FD1">
      <w:pPr>
        <w:spacing w:line="360" w:lineRule="auto"/>
        <w:ind w:left="709"/>
        <w:jc w:val="both"/>
        <w:rPr>
          <w:rFonts w:ascii="Arial" w:hAnsi="Arial" w:cs="Arial"/>
          <w:b/>
        </w:rPr>
      </w:pPr>
      <w:r>
        <w:rPr>
          <w:rFonts w:ascii="Arial" w:hAnsi="Arial" w:cs="Arial"/>
          <w:lang w:bidi="es-ES"/>
        </w:rPr>
        <w:t xml:space="preserve">Lic. Mauro Facundo </w:t>
      </w:r>
      <w:proofErr w:type="spellStart"/>
      <w:r>
        <w:rPr>
          <w:rFonts w:ascii="Arial" w:hAnsi="Arial" w:cs="Arial"/>
          <w:lang w:bidi="es-ES"/>
        </w:rPr>
        <w:t>Sayavedra</w:t>
      </w:r>
      <w:proofErr w:type="spellEnd"/>
      <w:r>
        <w:rPr>
          <w:rFonts w:ascii="Arial" w:hAnsi="Arial" w:cs="Arial"/>
          <w:lang w:bidi="es-ES"/>
        </w:rPr>
        <w:t xml:space="preserve"> -  </w:t>
      </w:r>
      <w:r w:rsidRPr="00A24FD1">
        <w:rPr>
          <w:rFonts w:ascii="Arial" w:hAnsi="Arial" w:cs="Arial"/>
          <w:lang w:bidi="es-ES"/>
        </w:rPr>
        <w:t>Subsecretaria de Informática de la Procuración General</w:t>
      </w:r>
      <w:bookmarkStart w:id="0" w:name="_GoBack"/>
      <w:bookmarkEnd w:id="0"/>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B3F6E"/>
    <w:rsid w:val="00352973"/>
    <w:rsid w:val="00386753"/>
    <w:rsid w:val="00562B88"/>
    <w:rsid w:val="007A22BB"/>
    <w:rsid w:val="008E1B45"/>
    <w:rsid w:val="00972A98"/>
    <w:rsid w:val="00A24FD1"/>
    <w:rsid w:val="00DA4311"/>
    <w:rsid w:val="00E11ED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37174"/>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274</Words>
  <Characters>1509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6</cp:revision>
  <cp:lastPrinted>2021-08-20T11:59:00Z</cp:lastPrinted>
  <dcterms:created xsi:type="dcterms:W3CDTF">2024-05-14T14:38:00Z</dcterms:created>
  <dcterms:modified xsi:type="dcterms:W3CDTF">2025-02-25T12:47:00Z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