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CD4FC3E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C45F6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F75B8B8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C45F62">
              <w:rPr>
                <w:rFonts w:ascii="Times New Roman" w:eastAsia="Arial" w:hAnsi="Times New Roman" w:cs="Times New Roman"/>
                <w:sz w:val="22"/>
                <w:szCs w:val="22"/>
              </w:rPr>
              <w:t>1312-22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C45F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48B4BC3" w14:textId="7ACE00A5" w:rsidR="00290A44" w:rsidRPr="00896852" w:rsidRDefault="00362139" w:rsidP="0089685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Azul,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C45F62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Unidad Funcional de Defensa Civil N° 3</w:t>
            </w:r>
            <w:r w:rsidR="006942C8"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del Departamento Judicial Azul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968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5D4348F9" w:rsidR="0057417D" w:rsidRPr="00476AC6" w:rsidRDefault="00524B6C" w:rsidP="00896852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 w:rsidR="0089685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,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3360E9C" w:rsidR="004843C4" w:rsidRPr="008E774E" w:rsidRDefault="00896852" w:rsidP="00896852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22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="0057417D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C383AE7" w14:textId="0C6F2073" w:rsidR="00524B6C" w:rsidRDefault="00524B6C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 w:rsidR="00896852">
              <w:rPr>
                <w:rFonts w:ascii="Times New Roman" w:hAnsi="Times New Roman" w:cs="Times New Roman"/>
                <w:bCs/>
                <w:sz w:val="22"/>
                <w:szCs w:val="19"/>
              </w:rPr>
              <w:t>,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AZUL – BUENOS AIRES</w:t>
            </w:r>
          </w:p>
          <w:p w14:paraId="32958D98" w14:textId="66C98676" w:rsidR="00290A44" w:rsidRPr="00476AC6" w:rsidRDefault="00290A44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B0EA140" w:rsidR="00524B6C" w:rsidRPr="00181BF6" w:rsidRDefault="00896852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22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28172074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C45F62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6BB9A01A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C45F62">
              <w:rPr>
                <w:rFonts w:ascii="Times New Roman" w:eastAsia="Arial" w:hAnsi="Times New Roman" w:cs="Times New Roman"/>
                <w:b/>
              </w:rPr>
              <w:t>1312</w:t>
            </w:r>
            <w:r w:rsidRPr="00BC0F85">
              <w:rPr>
                <w:rFonts w:ascii="Times New Roman" w:eastAsia="Arial" w:hAnsi="Times New Roman" w:cs="Times New Roman"/>
                <w:b/>
              </w:rPr>
              <w:t>-2</w:t>
            </w:r>
            <w:r w:rsidR="00C45F62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</w:t>
            </w:r>
            <w:bookmarkStart w:id="1" w:name="_GoBack"/>
            <w:bookmarkEnd w:id="1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6852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5F62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63A91-ED9A-4535-8CDF-91115ED3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17</Pages>
  <Words>1655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15</cp:revision>
  <cp:lastPrinted>2024-10-23T11:53:00Z</cp:lastPrinted>
  <dcterms:created xsi:type="dcterms:W3CDTF">2024-02-16T14:35:00Z</dcterms:created>
  <dcterms:modified xsi:type="dcterms:W3CDTF">2024-10-23T11:54:00Z</dcterms:modified>
</cp:coreProperties>
</file>