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>de Morgue Judicial Lomas de Zamora</w:t>
      </w:r>
      <w:bookmarkStart w:id="0" w:name="_GoBack"/>
      <w:bookmarkEnd w:id="0"/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17</Pages>
  <Words>1600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34</cp:revision>
  <cp:lastPrinted>2020-08-26T14:44:00Z</cp:lastPrinted>
  <dcterms:created xsi:type="dcterms:W3CDTF">2017-03-16T14:25:00Z</dcterms:created>
  <dcterms:modified xsi:type="dcterms:W3CDTF">2020-08-26T14:47:00Z</dcterms:modified>
</cp:coreProperties>
</file>