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E81E2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</w:p>
    <w:p w:rsidR="00446A03" w:rsidRDefault="00BB62E1" w:rsidP="00BB62E1">
      <w:pPr>
        <w:spacing w:line="360" w:lineRule="auto"/>
        <w:ind w:left="567"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6B6DFE">
        <w:rPr>
          <w:rFonts w:ascii="Arial" w:hAnsi="Arial" w:cs="Arial"/>
        </w:rPr>
        <w:t xml:space="preserve"> 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 Contrataciones</w:t>
      </w:r>
      <w:r w:rsidR="00E81E21">
        <w:rPr>
          <w:rFonts w:ascii="Arial" w:hAnsi="Arial" w:cs="Arial"/>
        </w:rPr>
        <w:t>. (ii) elaboración del Pliego de Bases y Condiciones Particulares y Especificaciones Técnicas; v) respuesta a consultas aclaratorias o modificatorias del Pliego de Bases y Condiciones Particulares).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</w:t>
      </w:r>
      <w:proofErr w:type="gramEnd"/>
      <w:r w:rsidRPr="00E81E21">
        <w:rPr>
          <w:rFonts w:ascii="Arial" w:hAnsi="Arial" w:cs="Arial"/>
          <w:lang w:bidi="es-ES"/>
        </w:rPr>
        <w:t>) elevación de requerimiento de contratación, ii) elaboración de especificaciones técnicas)</w:t>
      </w:r>
    </w:p>
    <w:p w:rsidR="00446A03" w:rsidRPr="00E81E21" w:rsidRDefault="00446A03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E81E21">
        <w:rPr>
          <w:rFonts w:ascii="Arial" w:hAnsi="Arial" w:cs="Arial"/>
          <w:b/>
        </w:rPr>
        <w:t xml:space="preserve">Arq. </w:t>
      </w:r>
      <w:proofErr w:type="spellStart"/>
      <w:r w:rsidRPr="00E81E21">
        <w:rPr>
          <w:rFonts w:ascii="Arial" w:hAnsi="Arial" w:cs="Arial"/>
          <w:b/>
        </w:rPr>
        <w:t>Raggio</w:t>
      </w:r>
      <w:proofErr w:type="spellEnd"/>
      <w:r w:rsidRPr="00E81E21">
        <w:rPr>
          <w:rFonts w:ascii="Arial" w:hAnsi="Arial" w:cs="Arial"/>
          <w:b/>
        </w:rPr>
        <w:t xml:space="preserve"> Guillermo Emir </w:t>
      </w:r>
      <w:r w:rsidR="00E81E21">
        <w:rPr>
          <w:rFonts w:ascii="Arial" w:hAnsi="Arial" w:cs="Arial"/>
        </w:rPr>
        <w:t>–</w:t>
      </w:r>
      <w:r w:rsidRPr="00E81E21">
        <w:rPr>
          <w:rFonts w:ascii="Arial" w:hAnsi="Arial" w:cs="Arial"/>
        </w:rPr>
        <w:t xml:space="preserve"> </w:t>
      </w:r>
      <w:r w:rsidR="00E81E21">
        <w:rPr>
          <w:rFonts w:ascii="Arial" w:hAnsi="Arial" w:cs="Arial"/>
        </w:rPr>
        <w:t>Subsecretario-</w:t>
      </w:r>
      <w:r w:rsidRPr="00E81E21">
        <w:rPr>
          <w:rFonts w:ascii="Arial" w:hAnsi="Arial" w:cs="Arial"/>
        </w:rPr>
        <w:t xml:space="preserve"> Departamento Arquitectura e Infraestructura</w:t>
      </w:r>
    </w:p>
    <w:p w:rsidR="00446A03" w:rsidRPr="00784C9D" w:rsidRDefault="00446A03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E81E21">
        <w:rPr>
          <w:rFonts w:ascii="Arial" w:hAnsi="Arial" w:cs="Arial"/>
          <w:b/>
        </w:rPr>
        <w:t xml:space="preserve">Arq. </w:t>
      </w:r>
      <w:r w:rsidR="00587B90">
        <w:rPr>
          <w:rFonts w:ascii="Arial" w:hAnsi="Arial" w:cs="Arial"/>
          <w:b/>
        </w:rPr>
        <w:t>Fernández</w:t>
      </w:r>
      <w:bookmarkStart w:id="0" w:name="_GoBack"/>
      <w:bookmarkEnd w:id="0"/>
      <w:r w:rsidR="00E81E21">
        <w:rPr>
          <w:rFonts w:ascii="Arial" w:hAnsi="Arial" w:cs="Arial"/>
          <w:b/>
        </w:rPr>
        <w:t>, Débora Ruth</w:t>
      </w:r>
      <w:r w:rsidRPr="00E81E21">
        <w:rPr>
          <w:rFonts w:ascii="Arial" w:hAnsi="Arial" w:cs="Arial"/>
          <w:b/>
        </w:rPr>
        <w:t xml:space="preserve"> – </w:t>
      </w:r>
      <w:r w:rsidRPr="00E81E21">
        <w:rPr>
          <w:rFonts w:ascii="Arial" w:hAnsi="Arial" w:cs="Arial"/>
        </w:rPr>
        <w:t xml:space="preserve">Delegado de Arquitectura </w:t>
      </w:r>
      <w:r w:rsidR="00587B90">
        <w:rPr>
          <w:rFonts w:ascii="Arial" w:hAnsi="Arial" w:cs="Arial"/>
        </w:rPr>
        <w:t>–Lomas de Zamora.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42460E"/>
    <w:rsid w:val="00446A03"/>
    <w:rsid w:val="00491C4F"/>
    <w:rsid w:val="00514326"/>
    <w:rsid w:val="00524D22"/>
    <w:rsid w:val="00587B90"/>
    <w:rsid w:val="00691C5F"/>
    <w:rsid w:val="006B6DFE"/>
    <w:rsid w:val="00785C42"/>
    <w:rsid w:val="007C71F6"/>
    <w:rsid w:val="00885AF4"/>
    <w:rsid w:val="009647D4"/>
    <w:rsid w:val="0097198D"/>
    <w:rsid w:val="009C4066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0BFBF6F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1611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9</cp:revision>
  <cp:lastPrinted>2019-08-02T12:12:00Z</cp:lastPrinted>
  <dcterms:created xsi:type="dcterms:W3CDTF">2019-07-30T12:44:00Z</dcterms:created>
  <dcterms:modified xsi:type="dcterms:W3CDTF">2020-01-23T13:40:00Z</dcterms:modified>
</cp:coreProperties>
</file>