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266CC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266CC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PG.SA-1862</w:t>
            </w:r>
            <w:r w:rsidR="00217B7B">
              <w:rPr>
                <w:rFonts w:ascii="Arial" w:hAnsi="Arial"/>
                <w:sz w:val="20"/>
              </w:rPr>
              <w:t>-20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>
              <w:rPr>
                <w:rFonts w:ascii="Arial" w:eastAsia="Arial Unicode MS" w:hAnsi="Arial"/>
                <w:b/>
                <w:sz w:val="16"/>
              </w:rPr>
              <w:t xml:space="preserve">- INSTALACION: $450,00 – ABONO MENSUAL: $ 6.800,00 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725114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0266CC">
              <w:rPr>
                <w:rFonts w:ascii="Arial" w:hAnsi="Arial"/>
                <w:sz w:val="16"/>
              </w:rPr>
              <w:t xml:space="preserve"> “INTERNET CABLEMODEM</w:t>
            </w:r>
            <w:r w:rsidR="00392949">
              <w:rPr>
                <w:rFonts w:ascii="Arial" w:hAnsi="Arial"/>
                <w:sz w:val="16"/>
              </w:rPr>
              <w:t>”</w:t>
            </w:r>
            <w:r w:rsidR="000D3C8F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</w:t>
            </w:r>
            <w:r w:rsidR="000266CC">
              <w:rPr>
                <w:rFonts w:ascii="Arial" w:hAnsi="Arial"/>
                <w:sz w:val="16"/>
              </w:rPr>
              <w:t xml:space="preserve">AYUDANTÍA  FISCAL DE L.N ALEM UBICADO EN </w:t>
            </w:r>
            <w:r w:rsidR="00A00313">
              <w:rPr>
                <w:rFonts w:ascii="Arial" w:hAnsi="Arial"/>
                <w:sz w:val="16"/>
              </w:rPr>
              <w:t>EDIFICIO DEL MINIST</w:t>
            </w:r>
            <w:r w:rsidR="000266CC">
              <w:rPr>
                <w:rFonts w:ascii="Arial" w:hAnsi="Arial"/>
                <w:sz w:val="16"/>
              </w:rPr>
              <w:t>ERIO PÚBLICO DE CALLE PUEYRREDON  N° 40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0266CC">
              <w:rPr>
                <w:rFonts w:ascii="Arial" w:hAnsi="Arial"/>
                <w:sz w:val="16"/>
              </w:rPr>
              <w:t>LOCALIDAD DE VEDIA</w:t>
            </w:r>
            <w:r w:rsidR="00A00313">
              <w:rPr>
                <w:rFonts w:ascii="Arial" w:hAnsi="Arial"/>
                <w:sz w:val="16"/>
              </w:rPr>
              <w:t xml:space="preserve">,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CD141B">
              <w:rPr>
                <w:rFonts w:ascii="Arial" w:eastAsia="Arial Unicode MS" w:hAnsi="Arial"/>
                <w:b/>
                <w:sz w:val="18"/>
              </w:rPr>
              <w:t>XX</w:t>
            </w:r>
            <w:r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 xml:space="preserve"> de </w:t>
            </w:r>
            <w:r w:rsidR="00DB127C">
              <w:rPr>
                <w:rFonts w:ascii="Arial" w:eastAsia="Arial Unicode MS" w:hAnsi="Arial"/>
                <w:b/>
                <w:sz w:val="18"/>
              </w:rPr>
              <w:t>e</w:t>
            </w:r>
            <w:r w:rsidR="000266CC">
              <w:rPr>
                <w:rFonts w:ascii="Arial" w:eastAsia="Arial Unicode MS" w:hAnsi="Arial"/>
                <w:b/>
                <w:sz w:val="18"/>
              </w:rPr>
              <w:t>nero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345A2E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1E7B75">
              <w:rPr>
                <w:rFonts w:ascii="Arial" w:eastAsia="Arial Unicode MS" w:hAnsi="Arial"/>
                <w:b/>
                <w:sz w:val="18"/>
              </w:rPr>
              <w:t>XX</w:t>
            </w:r>
            <w:r w:rsidR="005F5676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de </w:t>
            </w:r>
            <w:r w:rsidR="000266CC">
              <w:rPr>
                <w:rFonts w:ascii="Arial" w:eastAsia="Arial Unicode MS" w:hAnsi="Arial"/>
                <w:b/>
                <w:sz w:val="18"/>
              </w:rPr>
              <w:t>enero de 2021</w:t>
            </w:r>
            <w:r w:rsidR="000266CC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0266CC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0266CC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56B84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1E7B7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30E65"/>
    <w:rsid w:val="00A720E0"/>
    <w:rsid w:val="00BC0F4E"/>
    <w:rsid w:val="00BC439B"/>
    <w:rsid w:val="00BE5E06"/>
    <w:rsid w:val="00C939D8"/>
    <w:rsid w:val="00CD141B"/>
    <w:rsid w:val="00CF2A54"/>
    <w:rsid w:val="00D41F35"/>
    <w:rsid w:val="00D603C9"/>
    <w:rsid w:val="00DB127C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74</cp:revision>
  <cp:lastPrinted>2020-10-23T15:23:00Z</cp:lastPrinted>
  <dcterms:created xsi:type="dcterms:W3CDTF">2017-03-13T12:28:00Z</dcterms:created>
  <dcterms:modified xsi:type="dcterms:W3CDTF">2021-01-05T16:29:00Z</dcterms:modified>
</cp:coreProperties>
</file>